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06-2/2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3-14</w:t>
      </w:r>
    </w:p>
    <w:p w:rsidR="00C36733" w:rsidRDefault="00BD439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1302B5">
        <w:rPr>
          <w:rFonts w:ascii="Times New Roman" w:hAnsi="Times New Roman"/>
          <w:sz w:val="24"/>
          <w:szCs w:val="24"/>
          <w:lang w:val="sr-Cyrl-RS"/>
        </w:rPr>
        <w:t>Janez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Kopač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direktor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Sekretarijata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Energetske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zajednice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Barbara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/>
          <w:sz w:val="24"/>
          <w:szCs w:val="24"/>
          <w:lang w:val="sr-Cyrl-RS"/>
        </w:rPr>
        <w:t>Jakšova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šef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Odseka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Sekretarijata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Energetske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zajednice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odnose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javnošću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Mirjana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Filipović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državni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/>
          <w:sz w:val="24"/>
          <w:szCs w:val="24"/>
          <w:lang w:val="sr-Cyrl-RS"/>
        </w:rPr>
        <w:t>rudrstva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energetike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Ljubo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Maćić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Agencije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energetiku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Vlaisavljević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/>
          <w:sz w:val="24"/>
          <w:szCs w:val="24"/>
          <w:lang w:val="sr-Cyrl-RS"/>
        </w:rPr>
        <w:t>direktor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Direkcije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trgovinu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električnom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energijom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JP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/>
          <w:sz w:val="24"/>
          <w:szCs w:val="24"/>
          <w:lang w:val="sr-Cyrl-RS"/>
        </w:rPr>
        <w:t>EPS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1302B5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36733" w:rsidRDefault="009F00AB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Razno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osme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devete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desete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Prezentacija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stanja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evropskim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integracijama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oblasti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energetike</w:t>
      </w:r>
    </w:p>
    <w:p w:rsidR="003017A6" w:rsidRDefault="003017A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F2616" w:rsidRPr="005E4714" w:rsidRDefault="006F2616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Janez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Kopač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Sekretarijata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zajednice</w:t>
      </w:r>
      <w:r w:rsidR="003229C6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3229C6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izraz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io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prezentacije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Godišnjeg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iveštaja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napretku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ispunjavanja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zajednici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privredu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regionalni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trgovinu</w:t>
      </w:r>
      <w:r w:rsidR="008B3CA2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turizam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8B3C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organizuje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predstavljanje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rezultata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ostvarila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F2616" w:rsidRPr="005E4714" w:rsidRDefault="006F2616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322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2F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potpisnica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osnivanju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unija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</w:rPr>
        <w:t>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potpisnica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Bosna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Hercegovina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Ukrajina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lastRenderedPageBreak/>
        <w:t>Moldavija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Albanija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Makedonija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Privremena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misija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Ujedinjenih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nacija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proofErr w:type="gram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Kosovu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Rezolucijom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1244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Ujedinjenih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nacija</w:t>
      </w:r>
      <w:r w:rsidR="009E0D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Ukrajina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Gruzija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uskoro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postaje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punopravna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</w:rPr>
        <w:t>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Jermenija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Norveška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Turska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F2616" w:rsidRPr="005E4714" w:rsidRDefault="000C7316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Dijalog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komisijom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institucionalizovan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ustanovljena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Ugovorom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osnivanju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zajednice</w:t>
      </w:r>
      <w:r w:rsidR="006F2616" w:rsidRPr="005E47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avet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ministara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se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sastaje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Svake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ugovorna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strana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predsedava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radom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C560B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C560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C560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predsedava</w:t>
      </w:r>
      <w:r w:rsidR="00C560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Ukrajina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zv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taln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F27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rup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="00C47F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C47F0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Srbiju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predstavlja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Simović</w:t>
      </w:r>
      <w:r w:rsidR="0001460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sastaje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se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>.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Regulatorni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savetodavno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telo</w:t>
      </w:r>
      <w:r w:rsidR="00C47F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C560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čine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regulatornih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="00C560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C56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C56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Ljubo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Maćić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47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gencij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energetiku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014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02B5">
        <w:rPr>
          <w:rFonts w:ascii="Times New Roman" w:hAnsi="Times New Roman" w:cs="Times New Roman"/>
          <w:sz w:val="24"/>
          <w:szCs w:val="24"/>
        </w:rPr>
        <w:t>ma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oruma</w:t>
      </w:r>
      <w:proofErr w:type="spellEnd"/>
      <w:r w:rsidR="000146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naftu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socijalna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2F277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sastaju</w:t>
      </w:r>
      <w:r w:rsidR="0001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01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ajznačajnij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14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orum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Forum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električnu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energiju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Forum</w:t>
      </w:r>
      <w:r w:rsidR="0001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14603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gas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naftu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se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sastaje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u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Forum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Sloveniji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Forum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Atini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udžet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4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tri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miliona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evra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unija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uplaćuje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skoro</w:t>
      </w:r>
      <w:proofErr w:type="spellEnd"/>
      <w:proofErr w:type="gram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95%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4EA5">
        <w:rPr>
          <w:rFonts w:ascii="Times New Roman" w:hAnsi="Times New Roman" w:cs="Times New Roman"/>
          <w:sz w:val="24"/>
          <w:szCs w:val="24"/>
        </w:rPr>
        <w:t>18</w:t>
      </w:r>
      <w:r w:rsidR="00E84E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evra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616" w:rsidRPr="005E4714" w:rsidRDefault="006F2616" w:rsidP="006F26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71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o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Energetskoj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2005.</w:t>
      </w:r>
      <w:proofErr w:type="gram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E84EA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tupio</w:t>
      </w:r>
      <w:proofErr w:type="spellEnd"/>
      <w:r w:rsidR="00E84EA5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="00E84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84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E84EA5">
        <w:rPr>
          <w:rFonts w:ascii="Times New Roman" w:hAnsi="Times New Roman" w:cs="Times New Roman"/>
          <w:sz w:val="24"/>
          <w:szCs w:val="24"/>
        </w:rPr>
        <w:t xml:space="preserve"> 2006.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E84E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84E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ciljem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da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se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napravi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integracija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Evropskom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unijom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tržišt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gasa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da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se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formira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jed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instveno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tržište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kome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važe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jedinstvena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pravila</w:t>
      </w:r>
      <w:r w:rsidRPr="005E4714">
        <w:rPr>
          <w:rFonts w:ascii="Times New Roman" w:hAnsi="Times New Roman" w:cs="Times New Roman"/>
          <w:sz w:val="24"/>
          <w:szCs w:val="24"/>
        </w:rPr>
        <w:t>.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Ovim</w:t>
      </w:r>
      <w:r w:rsidRPr="005E47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dokumentom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otvara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mogućnost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uspostavljanje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čvršćih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međusobnih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veza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0C73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Ugovornih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strana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Jugoistočne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JIE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Austrijom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Italijom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Slovenijom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Hrvatskom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Mađarskom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Grčkom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Rumunijom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Bugarskom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Bugarska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Rumunija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Hrvatska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ulaskom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članstvo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prestale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individualne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članice</w:t>
      </w:r>
      <w:r w:rsidR="00E84E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E84EA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taj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omogućeno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regionalno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povezivanje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podrazumeva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stvaranje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stabilnog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okvira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Jugoistočnoj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uniji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privlačenja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investicija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sektore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električne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prirodnog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omogućilo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stabilno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snabdevanje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neophodno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ekonomski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socijalnu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stabilnost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stvaranje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jedinstvenog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pravnog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okvira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trgovinu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električnom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JIE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međuvremenu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ovo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povezivanje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prošireno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sigurnosti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snabdevanja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JIE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poboljšanje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stanja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povećanje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efikasnosti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upotrebe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obnovljivih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izvora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regionu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konkurentnog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tržišta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1302B5">
        <w:rPr>
          <w:rFonts w:ascii="Times New Roman" w:hAnsi="Times New Roman" w:cs="Times New Roman"/>
          <w:sz w:val="24"/>
          <w:szCs w:val="24"/>
          <w:lang w:val="ru-RU"/>
        </w:rPr>
        <w:t>tvaranje</w:t>
      </w:r>
      <w:r w:rsidR="002F2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ru-RU"/>
        </w:rPr>
        <w:t>jedinstvenog</w:t>
      </w:r>
      <w:r w:rsidRPr="005E47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ru-RU"/>
        </w:rPr>
        <w:t>tržišta</w:t>
      </w:r>
      <w:r w:rsidRPr="005E47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ru-RU"/>
        </w:rPr>
        <w:t>energije</w:t>
      </w:r>
      <w:r w:rsidRPr="005E471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06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Tokom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prethodnih</w:t>
      </w:r>
      <w:r w:rsidR="00F06A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ustanovljene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dimenzije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osnivanju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Uvedena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dimenzija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ugroženih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potrošača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socijalni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dijalog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osnovan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Socijalni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forum</w:t>
      </w:r>
      <w:r w:rsidR="002F277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Jedinstveno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tržište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konkurencija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donose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sigurnost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snabdevanja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potrošača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energentima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cenama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monopolske</w:t>
      </w:r>
      <w:r w:rsidR="00D8183D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33384A" w:rsidRDefault="006F2616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ravni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poredak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DF1B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DF1B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ostalog</w:t>
      </w:r>
      <w:r w:rsidR="00DF1B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čine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tri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direktive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gasa</w:t>
      </w:r>
      <w:proofErr w:type="spellEnd"/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E4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direktive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tri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direktive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F1B0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propisi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sadrže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rokove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članice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da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preuz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mu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svoje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pravn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pore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tke</w:t>
      </w:r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najvažnija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članice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transponovanje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Trećeg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tiče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izmeni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proširi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ovlašćenja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nezavisnog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Agencija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1B61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osnovana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tzv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Drugog</w:t>
      </w:r>
      <w:r w:rsidR="00801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="0080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nezavisnog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obračuna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tarifa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kablove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gasovode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prenosi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struja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kabla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gasovoda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obračunati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cenu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C43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monopol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nastao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regulatorna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 w:rsidR="003C71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3C71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obezbeđivanja</w:t>
      </w:r>
      <w:r w:rsidR="003C71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nezavisnosti</w:t>
      </w:r>
      <w:r w:rsidR="003C71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3C71E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redovno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daje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saglasnost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finansijski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637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donosioci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odluka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Agenciji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budu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adekvatno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plaćeni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izloženi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riziku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pritisaka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velikih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igrača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energetskom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tržištu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Novim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Agencija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dobiti</w:t>
      </w:r>
      <w:r w:rsidR="00D123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veća</w:t>
      </w:r>
      <w:r w:rsidR="00395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ovlašćenja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imati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veću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odgovornost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obezbedi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nezavisnost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znanju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kvalitetu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najbolje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regionu</w:t>
      </w:r>
      <w:r w:rsidR="00B1181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3384A" w:rsidRPr="00531E49" w:rsidRDefault="0033384A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ostvarila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napredak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implementaciji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tzv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paketa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direktiva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tržište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otvoreno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EMS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EPEKSPOT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potpisali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principima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osnivanju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Berze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električne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EMS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KOSTT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upravljanju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mrežom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radom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septembru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Međutim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pokrenut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prekršajni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postupak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neučestvovanja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EMS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regionalnoj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koordiniranu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dugoročnu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aukciju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raspodelu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prekograničnih</w:t>
      </w:r>
      <w:proofErr w:type="spellEnd"/>
      <w:r w:rsidR="00832D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kapaciteta</w:t>
      </w:r>
      <w:r w:rsidR="00832D2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53C6" w:rsidRPr="002653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53C6" w:rsidRPr="00531E49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raspodeljuje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prekogranične</w:t>
      </w:r>
      <w:proofErr w:type="spellEnd"/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bilateralno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Mađarskom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Rumunijom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konkurentski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potpisnice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prekogranični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kapaciteti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raspodeljuju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asocijaciji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regionalnom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uzela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zajedničkoj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kancelariji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alokaciju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tzv</w:t>
      </w:r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>. "</w:t>
      </w:r>
      <w:proofErr w:type="spellStart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>cheapest</w:t>
      </w:r>
      <w:proofErr w:type="spellEnd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>allocation</w:t>
      </w:r>
      <w:proofErr w:type="spellEnd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>office</w:t>
      </w:r>
      <w:proofErr w:type="spellEnd"/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sedištem</w:t>
      </w:r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31E49" w:rsidRPr="00531E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Podgorici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potpisnice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531E49" w:rsidRPr="00531E4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653C6" w:rsidRPr="00531E49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DE50CB" w:rsidRPr="00C57B12" w:rsidRDefault="00832D25" w:rsidP="00DE5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transpoziciji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="006F261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otvorenih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91C37" w:rsidRP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Usvajanjem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novog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kraja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telo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dobiti</w:t>
      </w:r>
      <w:r w:rsidR="002E60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veća</w:t>
      </w:r>
      <w:r w:rsidR="002E60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ovlašćenja</w:t>
      </w:r>
      <w:r w:rsidR="002E60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E60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pogledu</w:t>
      </w:r>
      <w:r w:rsidR="004740F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obaveze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razdvajanja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delatnosti</w:t>
      </w:r>
      <w:r w:rsidR="002E60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operatora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distributivnog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="007627A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53C6" w:rsidRPr="002653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dosta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visoko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listi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transpoziciji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električne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Važeći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dobar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praksi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razdvojena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transportna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delatnost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snabdevanja</w:t>
      </w:r>
      <w:r w:rsidR="004740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740FE" w:rsidRPr="00A10A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="00160157" w:rsidRPr="00A10A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JP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0157" w:rsidRPr="005E4714"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Srbijagas</w:t>
      </w:r>
      <w:proofErr w:type="spellEnd"/>
      <w:r w:rsidR="00160157" w:rsidRPr="005E471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predstavlja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prepreku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tržišnim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reformama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podsticanju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konkurencije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Pravno</w:t>
      </w:r>
      <w:r w:rsidR="00160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izvršeno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razdvajanje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operatora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transportnog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vertikalno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integrisnim</w:t>
      </w:r>
      <w:proofErr w:type="spellEnd"/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preduzećima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gasnom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JP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Srbijagas</w:t>
      </w:r>
      <w:proofErr w:type="spellEnd"/>
      <w:r w:rsidR="00D91C3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Yug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sgaz</w:t>
      </w:r>
      <w:proofErr w:type="spellEnd"/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</w:t>
      </w:r>
      <w:proofErr w:type="spellEnd"/>
      <w:r w:rsidR="00D91C3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snabdevanja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prirodnim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gasom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delatnosti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="00D91C37" w:rsidRPr="005E4714">
        <w:rPr>
          <w:rFonts w:ascii="Times New Roman" w:hAnsi="Times New Roman" w:cs="Times New Roman"/>
          <w:sz w:val="24"/>
          <w:szCs w:val="24"/>
          <w:lang w:val="sr-Cyrl-CS"/>
        </w:rPr>
        <w:t>Yug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91C37" w:rsidRPr="005E4714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91C37" w:rsidRPr="005E4714">
        <w:rPr>
          <w:rFonts w:ascii="Times New Roman" w:hAnsi="Times New Roman" w:cs="Times New Roman"/>
          <w:sz w:val="24"/>
          <w:szCs w:val="24"/>
          <w:lang w:val="sr-Cyrl-CS"/>
        </w:rPr>
        <w:t>sgaz</w:t>
      </w:r>
      <w:proofErr w:type="spellEnd"/>
      <w:r w:rsidR="00D91C37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91C37" w:rsidRPr="005E471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</w:t>
      </w:r>
      <w:proofErr w:type="spellEnd"/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izvršio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funkcionalno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razdvajanje</w:t>
      </w:r>
      <w:r w:rsidR="002653C6" w:rsidRPr="005E471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sprečava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konkurenciju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šteti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potrošačima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vlasnik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infrasturkture</w:t>
      </w:r>
      <w:proofErr w:type="spellEnd"/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koristi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monopolski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položaj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onemogući</w:t>
      </w:r>
      <w:r w:rsidR="00B900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B90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B90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obračunava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tarife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niže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monopolski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obavezi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razdvoji</w:t>
      </w:r>
      <w:r w:rsidR="001A36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JP</w:t>
      </w:r>
      <w:r w:rsidR="001A367A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Srbijagas</w:t>
      </w:r>
      <w:proofErr w:type="spellEnd"/>
      <w:r w:rsidR="001A367A" w:rsidRPr="005E471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preduzeća</w:t>
      </w:r>
      <w:r w:rsidR="00A05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A05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2007.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Pošto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tada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izvršena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001A367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Savet</w:t>
      </w:r>
      <w:r w:rsidR="001F34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ministara</w:t>
      </w:r>
      <w:r w:rsidR="001F34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zasedanju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Kievu</w:t>
      </w:r>
      <w:proofErr w:type="spellEnd"/>
      <w:r w:rsidR="00A05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junu</w:t>
      </w:r>
      <w:r w:rsidR="00D91C37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05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pokrene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tužbu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="00C2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C2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C26ED7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C26E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plement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acije</w:t>
      </w:r>
      <w:proofErr w:type="spellEnd"/>
      <w:r w:rsidR="00C26ED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prepreka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ulazak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uslov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komisija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otvori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pregovore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članstvu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Poglavlju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15.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energetika</w:t>
      </w:r>
      <w:r w:rsidR="0081424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Pored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tog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uslova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Janez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Kopač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izneo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uslov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imena</w:t>
      </w:r>
      <w:r w:rsidR="00DE5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eđudržavn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og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Ruskom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Federacijom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izgradnje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transport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prirodnog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50CB" w:rsidRPr="005E471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Južn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tok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>“,</w:t>
      </w:r>
      <w:r w:rsidR="00DE5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E50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mišljenju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Sekretarijata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u</w:t>
      </w:r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E50CB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Trećim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energetskim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paketom</w:t>
      </w:r>
      <w:proofErr w:type="spellEnd"/>
      <w:r w:rsidR="00215F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ne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predviđa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pravilo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prostog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tj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proofErr w:type="gram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tržištu</w:t>
      </w:r>
      <w:r w:rsidR="00E3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="00E3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E3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="00E37A82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apaciteti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stvar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37A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E37A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regulatornog</w:t>
      </w:r>
      <w:r w:rsidR="00E37A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E37A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37A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direktivama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DE50CB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gencije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etiku</w:t>
      </w:r>
      <w:r w:rsidR="00215F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</w:rPr>
        <w:t>a</w:t>
      </w:r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E37A82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bar</w:t>
      </w:r>
      <w:r w:rsidR="00C57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C57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obezbeđen</w:t>
      </w:r>
      <w:proofErr w:type="spellEnd"/>
      <w:r w:rsidR="00C57B12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</w:rPr>
        <w:t>T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odredba</w:t>
      </w:r>
      <w:r w:rsidR="00E37A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pravilima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37A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prihvatljivo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EK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302B5">
        <w:rPr>
          <w:rFonts w:ascii="Times New Roman" w:hAnsi="Times New Roman" w:cs="Times New Roman"/>
          <w:sz w:val="24"/>
          <w:szCs w:val="24"/>
        </w:rPr>
        <w:t>men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proofErr w:type="gram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međudržavnog</w:t>
      </w:r>
      <w:proofErr w:type="spellEnd"/>
      <w:r w:rsidR="00DE50CB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DE50CB" w:rsidRPr="005E4714">
        <w:rPr>
          <w:rFonts w:ascii="Times New Roman" w:hAnsi="Times New Roman" w:cs="Times New Roman"/>
          <w:sz w:val="24"/>
          <w:szCs w:val="24"/>
        </w:rPr>
        <w:t>.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Janez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Kopač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sličan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ugovorima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Ruskom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Federacijom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Bugarska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Mađarska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Makedonija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uslov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pristupanje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C57B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90059" w:rsidRDefault="00490CA0" w:rsidP="00265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JP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Srbijagas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treba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poveća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transparentnost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usvojilo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Pravila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transport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gasa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pristup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treće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strane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ispunilo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objavljivanja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statističkih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podataka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kapacitetima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poslovanju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evropskim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standardima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podrazumevaju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podaci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objavljuju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veb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stranici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enegleskom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jeziku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16F22" w:rsidRDefault="006F2616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Direktiva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o</w:t>
      </w:r>
      <w:r w:rsidR="002B63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promociji</w:t>
      </w:r>
      <w:r w:rsidR="002B6345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AA5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="00AA5E93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proizvedene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A5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obnovljivi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RS"/>
        </w:rPr>
        <w:t>h</w:t>
      </w:r>
      <w:r w:rsidR="002B6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izvor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A7651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7651E" w:rsidRPr="00A7651E">
        <w:rPr>
          <w:rFonts w:ascii="Times New Roman" w:hAnsi="Times New Roman" w:cs="Times New Roman"/>
          <w:sz w:val="24"/>
          <w:szCs w:val="24"/>
          <w:lang w:val="en"/>
        </w:rPr>
        <w:t>2009/28/EC</w:t>
      </w:r>
      <w:r w:rsidR="00A7651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7651E" w:rsidRPr="00A7651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Pr="00A76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preneta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u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poredak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nergetske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>2012.</w:t>
      </w:r>
      <w:proofErr w:type="gram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vaka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povećati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AA5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AA5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A5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obnovljivih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u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ukupnoj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potrošnji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energ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02B5">
        <w:rPr>
          <w:rFonts w:ascii="Times New Roman" w:hAnsi="Times New Roman" w:cs="Times New Roman"/>
          <w:sz w:val="24"/>
          <w:szCs w:val="24"/>
        </w:rPr>
        <w:t>j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Srbij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poveća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9612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prizvedene</w:t>
      </w:r>
      <w:proofErr w:type="spellEnd"/>
      <w:r w:rsidR="009612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9612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obnovljivih</w:t>
      </w:r>
      <w:r w:rsidR="009612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izvora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E4714">
        <w:rPr>
          <w:rFonts w:ascii="Times New Roman" w:hAnsi="Times New Roman" w:cs="Times New Roman"/>
          <w:sz w:val="24"/>
          <w:szCs w:val="24"/>
        </w:rPr>
        <w:t xml:space="preserve"> 21,2% 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2011.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27%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</w:rPr>
        <w:t xml:space="preserve">2020.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merama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Pr="005E4714">
        <w:rPr>
          <w:rFonts w:ascii="Times New Roman" w:hAnsi="Times New Roman" w:cs="Times New Roman"/>
          <w:sz w:val="24"/>
          <w:szCs w:val="24"/>
        </w:rPr>
        <w:t xml:space="preserve"> „energy mix“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vetra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biomase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solarne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stvar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članice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rbija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jedina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članica</w:t>
      </w:r>
      <w:r w:rsidR="0096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9612F8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je</w:t>
      </w:r>
      <w:r w:rsidR="00961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dostavila</w:t>
      </w:r>
      <w:proofErr w:type="spellEnd"/>
      <w:r w:rsidR="009612F8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acionalni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kcioni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plan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namerava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dostigne</w:t>
      </w:r>
      <w:r w:rsidRPr="005E4714">
        <w:rPr>
          <w:rFonts w:ascii="Times New Roman" w:hAnsi="Times New Roman" w:cs="Times New Roman"/>
          <w:sz w:val="24"/>
          <w:szCs w:val="24"/>
        </w:rPr>
        <w:t xml:space="preserve"> 27% </w:t>
      </w:r>
      <w:r w:rsidR="001302B5">
        <w:rPr>
          <w:rFonts w:ascii="Times New Roman" w:hAnsi="Times New Roman" w:cs="Times New Roman"/>
          <w:sz w:val="24"/>
          <w:szCs w:val="24"/>
        </w:rPr>
        <w:t>do</w:t>
      </w:r>
      <w:r w:rsidRPr="005E4714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="001302B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E4714">
        <w:rPr>
          <w:rFonts w:ascii="Times New Roman" w:hAnsi="Times New Roman" w:cs="Times New Roman"/>
          <w:sz w:val="24"/>
          <w:szCs w:val="24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</w:t>
      </w:r>
      <w:r w:rsidR="001302B5">
        <w:rPr>
          <w:rFonts w:ascii="Times New Roman" w:hAnsi="Times New Roman" w:cs="Times New Roman"/>
          <w:sz w:val="24"/>
          <w:szCs w:val="24"/>
        </w:rPr>
        <w:t>od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implementacije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Sekretarijat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EnZ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uočio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ukazuju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lako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dostići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961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612F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odsustvo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značajnijih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davanja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oduzimanja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građevinskih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objektivna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ograničenja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stručnih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16F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poseban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propis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sadržati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kriterijume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održivosti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sertifikacije</w:t>
      </w:r>
      <w:proofErr w:type="spellEnd"/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tečna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biogoriva</w:t>
      </w:r>
      <w:proofErr w:type="spellEnd"/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biotečnosti</w:t>
      </w:r>
      <w:proofErr w:type="spellEnd"/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revidira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nejasne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složene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zahtevne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postupke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priključenja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stimulisanja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065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delimično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preuzela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označavanje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zgradama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A659D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nedostaju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podzakonska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transpozicije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visok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uložiti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napor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delotvornu</w:t>
      </w:r>
      <w:r w:rsidR="00A8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smanjenju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sumpora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pojedinim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tečnim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gorivima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delimično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transponovana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nedavno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postignut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zabranom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tipova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mazuta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definiciju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goriva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tipova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goriva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uzorkovanje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testiranje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ograničenju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zagađivača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vazduh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6222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ložišta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kraj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B628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termoelektrane</w:t>
      </w:r>
      <w:r w:rsidR="005B628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846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emisijama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951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industrijskih</w:t>
      </w:r>
      <w:r w:rsidR="00C951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strožija</w:t>
      </w:r>
      <w:proofErr w:type="spellEnd"/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ložištima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) 1.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1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961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961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F56B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B4B" w:rsidRDefault="00F56B4B" w:rsidP="006F26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Kopač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podvukao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transponovala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održavanju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minimalnih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zaliha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sirove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951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C951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usvajanjem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robnim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rezervama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omogućio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preuzmu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direktivu</w:t>
      </w:r>
      <w:r w:rsidR="00C12D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B6286" w:rsidRDefault="006F2616" w:rsidP="006F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B62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zaključku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Janez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Kopač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informisao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pripremi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Iako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još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definisana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institucija</w:t>
      </w:r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Žan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Klod</w:t>
      </w:r>
      <w:proofErr w:type="spellEnd"/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Junker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Alinku</w:t>
      </w:r>
      <w:proofErr w:type="spellEnd"/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Bratušek</w:t>
      </w:r>
      <w:proofErr w:type="spellEnd"/>
      <w:r w:rsidR="00A530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Slovenije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potpredsednika</w:t>
      </w:r>
      <w:r w:rsidR="00D862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Sledećih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izmeniti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važeći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ugovori</w:t>
      </w:r>
      <w:r w:rsidR="007637F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neće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imati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smisla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obrazovanje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učešća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Turske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Švajcarske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Norveške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Stigao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zvaničan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gospodina</w:t>
      </w:r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Žan</w:t>
      </w:r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CS"/>
        </w:rPr>
        <w:t>Klod</w:t>
      </w:r>
      <w:proofErr w:type="spellEnd"/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Junkera</w:t>
      </w:r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obrazovanje</w:t>
      </w:r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Parlamentarne</w:t>
      </w:r>
      <w:r w:rsidR="005339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C54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januaru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prilika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uključi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pan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evropsku</w:t>
      </w:r>
      <w:proofErr w:type="spellEnd"/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5339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promena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Ministarskim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savetom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predsedavaće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Albanija</w:t>
      </w:r>
      <w:r w:rsidR="003172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2616" w:rsidRDefault="006F2616" w:rsidP="0019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95A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postavljali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5E471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95AE9" w:rsidRPr="00F94241" w:rsidRDefault="001302B5" w:rsidP="00D05F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konsultativnog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850D00" w:rsidRPr="00F9424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50D00" w:rsidRDefault="001302B5" w:rsidP="00D05F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 w:rsidR="00F94241" w:rsidRPr="00F942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637F8" w:rsidRDefault="007637F8" w:rsidP="007637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4241" w:rsidRDefault="00F94241" w:rsidP="00F9424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Janez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Kopač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konsultativnog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navedena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obrazovana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324C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ad </w:t>
      </w:r>
      <w:proofErr w:type="spellStart"/>
      <w:r w:rsidRPr="00F324CD">
        <w:rPr>
          <w:rFonts w:ascii="Times New Roman" w:hAnsi="Times New Roman" w:cs="Times New Roman"/>
          <w:i/>
          <w:sz w:val="24"/>
          <w:szCs w:val="24"/>
          <w:lang w:val="sr-Latn-RS"/>
        </w:rPr>
        <w:t>hoc</w:t>
      </w:r>
      <w:proofErr w:type="spellEnd"/>
      <w:r w:rsidRPr="00F324C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Ministarskog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637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521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2013.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zadatkom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nezavisnu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procenu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adekvatnosti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insitutucionalnog</w:t>
      </w:r>
      <w:proofErr w:type="spellEnd"/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metoda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postizanje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postavljenih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konsultativni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Ministarskom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Savetu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reformisanje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neophodne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korake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324CD" w:rsidRPr="00F324C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Sastancima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prof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Jerži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Busek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E90F5B">
        <w:rPr>
          <w:rFonts w:ascii="Times New Roman" w:hAnsi="Times New Roman" w:cs="Times New Roman"/>
          <w:sz w:val="24"/>
          <w:szCs w:val="24"/>
          <w:lang w:val="sr-Latn-RS"/>
        </w:rPr>
        <w:t>Jerzy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90F5B">
        <w:rPr>
          <w:rFonts w:ascii="Times New Roman" w:hAnsi="Times New Roman" w:cs="Times New Roman"/>
          <w:sz w:val="24"/>
          <w:szCs w:val="24"/>
          <w:lang w:val="sr-Latn-RS"/>
        </w:rPr>
        <w:t>Buzek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ugledna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ličnost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ugovornica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visinu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uplate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glasanjem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raspravljalo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uvesti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sankcije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Bosni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Hercegovini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permanentnog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nepoštovanja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pokretanja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tužbe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glasanja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zaključeno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Bosni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Hercegovini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neformalno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produži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ispunjavanje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31003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90F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unilateralno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uvela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sankciju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BiH</w:t>
      </w:r>
      <w:proofErr w:type="spellEnd"/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blokirala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="005E5A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milijardu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evra</w:t>
      </w:r>
      <w:proofErr w:type="spellEnd"/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raspolaganju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blokirana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Srbijagasa</w:t>
      </w:r>
      <w:proofErr w:type="spellEnd"/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uslovljavanja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jači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partner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Ugovoru</w:t>
      </w:r>
      <w:r w:rsidR="005C4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Sekretarijatu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7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članice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jednak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tretman</w:t>
      </w:r>
      <w:r w:rsidR="00636EB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D0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novoj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Direktivi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industrijskim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emisijama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ugovornice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zahtevna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ugovornica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usudila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komentariše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kontra</w:t>
      </w:r>
      <w:r w:rsidR="008D5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podržale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ugovornice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prihvaćeno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daleko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povoljnije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Kopač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podvukao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aktivnim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odnosom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postići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AA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prihvata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napretku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ikakvih</w:t>
      </w:r>
      <w:r w:rsidR="00810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korekcija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Savetovao</w:t>
      </w:r>
      <w:r w:rsidR="001D59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usvoji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prelaznih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odredaba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suprotnosti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međunarodno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prihvaćenim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obavezama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menjati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propisane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rokove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izvršavanje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pomagati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ugovornicama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izvrše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pritisak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objektivni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razlozi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odlaganje</w:t>
      </w:r>
      <w:r w:rsidR="00020C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94241" w:rsidRDefault="00F95D87" w:rsidP="0046215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Ljubo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Maćić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42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informisao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kraćem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očekivanog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distributeri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sproveli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računovodstveno</w:t>
      </w:r>
      <w:proofErr w:type="spellEnd"/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troškova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plata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mrežnoj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posao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preduslov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Tarife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objavljene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obračunavaju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transportnom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46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otvoreno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kupci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ugovaraju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nabavku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0F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regulisano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kupci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izuzev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kupaca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plaćaće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mrežarinu</w:t>
      </w:r>
      <w:proofErr w:type="spellEnd"/>
      <w:r w:rsidR="002B31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2B3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ravila</w:t>
      </w:r>
      <w:proofErr w:type="spellEnd"/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</w:rPr>
        <w:t>transport</w:t>
      </w:r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gasa</w:t>
      </w:r>
      <w:proofErr w:type="spellEnd"/>
      <w:r w:rsidR="0046215F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proofErr w:type="spellEnd"/>
      <w:r w:rsidR="0046215F">
        <w:rPr>
          <w:rFonts w:ascii="Times New Roman" w:hAnsi="Times New Roman" w:cs="Times New Roman"/>
          <w:sz w:val="24"/>
          <w:szCs w:val="24"/>
          <w:lang w:val="sr-Cyrl-RS"/>
        </w:rPr>
        <w:t>“-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33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distributera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uzoru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pripremiti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svoja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dokumenta</w:t>
      </w:r>
      <w:r w:rsidR="004621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2616" w:rsidRPr="005E4714" w:rsidRDefault="006F2616" w:rsidP="001B474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714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Izneto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aktivan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47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Regionalnoj</w:t>
      </w:r>
      <w:r w:rsidR="001B47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parlamentarnoj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rež</w:t>
      </w:r>
      <w:proofErr w:type="spellEnd"/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</w:rPr>
        <w:t>integracije</w:t>
      </w:r>
      <w:proofErr w:type="spellEnd"/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="001B47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podržava</w:t>
      </w:r>
      <w:r w:rsidR="001B47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Vestminsterska</w:t>
      </w:r>
      <w:r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fondacija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demokratiju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rezultiralo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inicijativom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obrazovanje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parlamentarne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420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EnZ</w:t>
      </w:r>
      <w:proofErr w:type="spellEnd"/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daljim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integrativnim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procesima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1420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797E" w:rsidRDefault="00221DB7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Ljubo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Maćić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Mirjana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Janez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Kopač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1420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7797E" w:rsidRDefault="0077797E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36733" w:rsidRDefault="001302B5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C36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  <w:r w:rsidR="00C36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D5147E" w:rsidRDefault="00D5147E" w:rsidP="006F26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87421" w:rsidRDefault="00C36733" w:rsidP="00387421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potpunijeg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efikasnijeg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prihvaćen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zatraži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pogodnostima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olakšice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investiranje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domaće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investitore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predviđene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zakonskim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podzakonskim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aktima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ministarstava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sastoji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pogodnost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02B5">
        <w:rPr>
          <w:rFonts w:ascii="Times New Roman" w:hAnsi="Times New Roman" w:cs="Times New Roman"/>
          <w:sz w:val="24"/>
          <w:szCs w:val="24"/>
          <w:lang w:val="sr-Cyrl-RS"/>
        </w:rPr>
        <w:t>nefinansijska</w:t>
      </w:r>
      <w:proofErr w:type="spellEnd"/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uslove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ostvari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ostvaruje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kakvo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konkretne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pogodnosti</w:t>
      </w:r>
      <w:r w:rsidR="003874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F00AB" w:rsidRPr="009F00AB" w:rsidRDefault="009F00AB" w:rsidP="009F00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Parlament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parlamentarne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dimenzije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italijanskog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predsedavanja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uputio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9F00AB">
        <w:rPr>
          <w:rStyle w:val="FontStyle22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učešće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industrijski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srednja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Rimu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, 26.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1302B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F00AB">
        <w:rPr>
          <w:rStyle w:val="FontStyle19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Odbor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jednoglasno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odlučio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predsednik</w:t>
      </w:r>
      <w:r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Odbora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dr</w:t>
      </w:r>
      <w:r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Aleksandra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Tomić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učestvuje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sastanku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s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obzirom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Pr="009F00AB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302B5">
        <w:rPr>
          <w:rStyle w:val="FontStyle19"/>
          <w:rFonts w:ascii="Times New Roman" w:hAnsi="Times New Roman" w:cs="Times New Roman"/>
          <w:b w:val="0"/>
          <w:sz w:val="24"/>
          <w:szCs w:val="24"/>
          <w:lang w:val="sr-Cyrl-RS"/>
        </w:rPr>
        <w:t>su</w:t>
      </w:r>
      <w:r w:rsidRPr="009F00AB">
        <w:rPr>
          <w:rStyle w:val="FontStyle19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teme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razmatraju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delokrugu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radni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jezik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sastanka</w:t>
      </w:r>
      <w:r w:rsidRPr="009F00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02B5">
        <w:rPr>
          <w:rFonts w:ascii="Times New Roman" w:hAnsi="Times New Roman" w:cs="Times New Roman"/>
          <w:sz w:val="24"/>
          <w:szCs w:val="24"/>
          <w:lang w:val="sr-Cyrl-CS"/>
        </w:rPr>
        <w:t>engleski</w:t>
      </w:r>
      <w:r w:rsidRPr="009F00A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36733" w:rsidRDefault="009F00AB" w:rsidP="009F00AB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</w:p>
    <w:p w:rsidR="00C36733" w:rsidRDefault="00C36733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2B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Tr="00C36733">
        <w:tc>
          <w:tcPr>
            <w:tcW w:w="4788" w:type="dxa"/>
          </w:tcPr>
          <w:p w:rsidR="00C36733" w:rsidRDefault="001302B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1302B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130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130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30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302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/>
    <w:p w:rsidR="0010124C" w:rsidRDefault="0010124C"/>
    <w:sectPr w:rsidR="0010124C" w:rsidSect="00D51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E3" w:rsidRDefault="00327FE3" w:rsidP="00455BB6">
      <w:pPr>
        <w:spacing w:after="0" w:line="240" w:lineRule="auto"/>
      </w:pPr>
      <w:r>
        <w:separator/>
      </w:r>
    </w:p>
  </w:endnote>
  <w:endnote w:type="continuationSeparator" w:id="0">
    <w:p w:rsidR="00327FE3" w:rsidRDefault="00327FE3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B5" w:rsidRDefault="001302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B5" w:rsidRDefault="001302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B5" w:rsidRDefault="00130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E3" w:rsidRDefault="00327FE3" w:rsidP="00455BB6">
      <w:pPr>
        <w:spacing w:after="0" w:line="240" w:lineRule="auto"/>
      </w:pPr>
      <w:r>
        <w:separator/>
      </w:r>
    </w:p>
  </w:footnote>
  <w:footnote w:type="continuationSeparator" w:id="0">
    <w:p w:rsidR="00327FE3" w:rsidRDefault="00327FE3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B5" w:rsidRDefault="001302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2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B5" w:rsidRDefault="001302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125EC"/>
    <w:rsid w:val="00014603"/>
    <w:rsid w:val="00016F22"/>
    <w:rsid w:val="00020CDD"/>
    <w:rsid w:val="000650A2"/>
    <w:rsid w:val="000C7316"/>
    <w:rsid w:val="0010124C"/>
    <w:rsid w:val="001302B5"/>
    <w:rsid w:val="00142008"/>
    <w:rsid w:val="00160157"/>
    <w:rsid w:val="00195AE9"/>
    <w:rsid w:val="001A1521"/>
    <w:rsid w:val="001A367A"/>
    <w:rsid w:val="001B4749"/>
    <w:rsid w:val="001D591A"/>
    <w:rsid w:val="001F3400"/>
    <w:rsid w:val="00215F6A"/>
    <w:rsid w:val="00221DB7"/>
    <w:rsid w:val="002653C6"/>
    <w:rsid w:val="002B3157"/>
    <w:rsid w:val="002B6345"/>
    <w:rsid w:val="002E60AF"/>
    <w:rsid w:val="002F2777"/>
    <w:rsid w:val="003017A6"/>
    <w:rsid w:val="0031003A"/>
    <w:rsid w:val="0031720A"/>
    <w:rsid w:val="003229C6"/>
    <w:rsid w:val="00327FE3"/>
    <w:rsid w:val="0033384A"/>
    <w:rsid w:val="003648BC"/>
    <w:rsid w:val="00367DD6"/>
    <w:rsid w:val="00387421"/>
    <w:rsid w:val="00390CEB"/>
    <w:rsid w:val="00395139"/>
    <w:rsid w:val="003A3C1C"/>
    <w:rsid w:val="003C71E6"/>
    <w:rsid w:val="00455BB6"/>
    <w:rsid w:val="0046215F"/>
    <w:rsid w:val="004740FE"/>
    <w:rsid w:val="004866FF"/>
    <w:rsid w:val="00490CA0"/>
    <w:rsid w:val="004A556E"/>
    <w:rsid w:val="00531E49"/>
    <w:rsid w:val="00533900"/>
    <w:rsid w:val="0054201D"/>
    <w:rsid w:val="005B6286"/>
    <w:rsid w:val="005C420A"/>
    <w:rsid w:val="005E5AB7"/>
    <w:rsid w:val="005F32EF"/>
    <w:rsid w:val="00603902"/>
    <w:rsid w:val="006222A4"/>
    <w:rsid w:val="00636EBD"/>
    <w:rsid w:val="006506E3"/>
    <w:rsid w:val="006B2EC2"/>
    <w:rsid w:val="006D0FF4"/>
    <w:rsid w:val="006F2616"/>
    <w:rsid w:val="007627AE"/>
    <w:rsid w:val="0076370F"/>
    <w:rsid w:val="007637F8"/>
    <w:rsid w:val="0077797E"/>
    <w:rsid w:val="00794FC8"/>
    <w:rsid w:val="007E1F3A"/>
    <w:rsid w:val="00801B61"/>
    <w:rsid w:val="0081022A"/>
    <w:rsid w:val="00814240"/>
    <w:rsid w:val="00832D25"/>
    <w:rsid w:val="00850D00"/>
    <w:rsid w:val="0088467E"/>
    <w:rsid w:val="008A634C"/>
    <w:rsid w:val="008B3CA2"/>
    <w:rsid w:val="008D57ED"/>
    <w:rsid w:val="009612F8"/>
    <w:rsid w:val="009E0DEE"/>
    <w:rsid w:val="009F00AB"/>
    <w:rsid w:val="00A05F2C"/>
    <w:rsid w:val="00A10A93"/>
    <w:rsid w:val="00A530D8"/>
    <w:rsid w:val="00A659D1"/>
    <w:rsid w:val="00A7651E"/>
    <w:rsid w:val="00A8568F"/>
    <w:rsid w:val="00AA0F7C"/>
    <w:rsid w:val="00AA5E93"/>
    <w:rsid w:val="00B11812"/>
    <w:rsid w:val="00B1249A"/>
    <w:rsid w:val="00B71A55"/>
    <w:rsid w:val="00B90059"/>
    <w:rsid w:val="00BD4393"/>
    <w:rsid w:val="00BE03CF"/>
    <w:rsid w:val="00C12DB9"/>
    <w:rsid w:val="00C17DBA"/>
    <w:rsid w:val="00C26ED7"/>
    <w:rsid w:val="00C36733"/>
    <w:rsid w:val="00C43E05"/>
    <w:rsid w:val="00C47F04"/>
    <w:rsid w:val="00C5427C"/>
    <w:rsid w:val="00C560B8"/>
    <w:rsid w:val="00C57B12"/>
    <w:rsid w:val="00C92D01"/>
    <w:rsid w:val="00C951AD"/>
    <w:rsid w:val="00CC28D8"/>
    <w:rsid w:val="00CD0275"/>
    <w:rsid w:val="00D05F17"/>
    <w:rsid w:val="00D1238E"/>
    <w:rsid w:val="00D5147E"/>
    <w:rsid w:val="00D8183D"/>
    <w:rsid w:val="00D862E6"/>
    <w:rsid w:val="00D91C37"/>
    <w:rsid w:val="00DE50CB"/>
    <w:rsid w:val="00DF1B06"/>
    <w:rsid w:val="00E22392"/>
    <w:rsid w:val="00E37A82"/>
    <w:rsid w:val="00E41C25"/>
    <w:rsid w:val="00E84EA5"/>
    <w:rsid w:val="00E90F5B"/>
    <w:rsid w:val="00E946D5"/>
    <w:rsid w:val="00F06ACC"/>
    <w:rsid w:val="00F27E12"/>
    <w:rsid w:val="00F324CD"/>
    <w:rsid w:val="00F56B4B"/>
    <w:rsid w:val="00F94241"/>
    <w:rsid w:val="00F95D87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info</cp:lastModifiedBy>
  <cp:revision>2</cp:revision>
  <cp:lastPrinted>2014-10-30T13:42:00Z</cp:lastPrinted>
  <dcterms:created xsi:type="dcterms:W3CDTF">2014-12-30T10:42:00Z</dcterms:created>
  <dcterms:modified xsi:type="dcterms:W3CDTF">2014-12-30T10:42:00Z</dcterms:modified>
</cp:coreProperties>
</file>